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64" w:rsidRDefault="00E86E64" w:rsidP="00E86E64">
      <w:pPr>
        <w:pStyle w:val="Heading3"/>
        <w:spacing w:after="240"/>
      </w:pPr>
      <w:bookmarkStart w:id="0" w:name="_GoBack"/>
      <w:bookmarkEnd w:id="0"/>
      <w:r>
        <w:t xml:space="preserve">Sniðmát fyrir afgreiðslu sveitarfélags </w:t>
      </w:r>
    </w:p>
    <w:p w:rsidR="00E86E64" w:rsidRDefault="00E86E64" w:rsidP="00E86E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7"/>
      </w:tblGrid>
      <w:tr w:rsidR="00E86E64" w:rsidRPr="00A25032" w:rsidTr="00F31590">
        <w:tc>
          <w:tcPr>
            <w:tcW w:w="9062" w:type="dxa"/>
          </w:tcPr>
          <w:p w:rsidR="00E86E64" w:rsidRPr="00920380" w:rsidRDefault="00E86E64" w:rsidP="00F31590"/>
          <w:p w:rsidR="00E86E64" w:rsidRPr="00920380" w:rsidRDefault="00E86E64" w:rsidP="00F31590">
            <w:pPr>
              <w:rPr>
                <w:b/>
                <w:color w:val="833C0B" w:themeColor="accent2" w:themeShade="80"/>
              </w:rPr>
            </w:pPr>
            <w:r w:rsidRPr="00920380">
              <w:rPr>
                <w:b/>
                <w:color w:val="833C0B" w:themeColor="accent2" w:themeShade="80"/>
              </w:rPr>
              <w:t>Ef ekki háð mati:</w:t>
            </w:r>
          </w:p>
          <w:p w:rsidR="00E86E64" w:rsidRPr="00920380" w:rsidRDefault="00E86E64" w:rsidP="00F31590">
            <w:r w:rsidRPr="00920380">
              <w:t xml:space="preserve">Í samræmi við 6. gr. laga nr. 106/2000 hefur </w:t>
            </w:r>
            <w:r w:rsidRPr="00920380">
              <w:rPr>
                <w:highlight w:val="lightGray"/>
              </w:rPr>
              <w:t>sveitarfélagið X</w:t>
            </w:r>
            <w:r w:rsidRPr="00920380">
              <w:t xml:space="preserve"> farið yfir tilkynningu framkvæmdaraðila</w:t>
            </w:r>
            <w:r w:rsidRPr="00920380">
              <w:rPr>
                <w:highlight w:val="lightGray"/>
              </w:rPr>
              <w:t>, umsagnir og viðbrögð framkvæmdaraðila vegna þeirra (þegar það á við)</w:t>
            </w:r>
            <w:r w:rsidRPr="00920380">
              <w:t xml:space="preserve">. Niðurstaða </w:t>
            </w:r>
            <w:r w:rsidRPr="00920380">
              <w:rPr>
                <w:highlight w:val="lightGray"/>
              </w:rPr>
              <w:t>sveitarfélagsins X</w:t>
            </w:r>
            <w:r w:rsidRPr="00920380">
              <w:t xml:space="preserve"> er að </w:t>
            </w:r>
            <w:r w:rsidRPr="00920380">
              <w:rPr>
                <w:highlight w:val="lightGray"/>
              </w:rPr>
              <w:t>heiti framkvæmdar</w:t>
            </w:r>
            <w:r w:rsidRPr="00920380">
              <w:t xml:space="preserve"> sé ekki líkleg til að hafa í för með sér umtalsverð umhverfisáhrif, sbr. viðmið í 2. viðauka laga nr. 106/2000. Því skal framkvæmdin ekki háð mati á umhverfisáhrifum.</w:t>
            </w:r>
          </w:p>
          <w:p w:rsidR="00E86E64" w:rsidRPr="00920380" w:rsidRDefault="00E86E64" w:rsidP="00F31590"/>
          <w:p w:rsidR="00E86E64" w:rsidRPr="00920380" w:rsidRDefault="00E86E64" w:rsidP="00F31590">
            <w:pPr>
              <w:rPr>
                <w:b/>
                <w:color w:val="833C0B" w:themeColor="accent2" w:themeShade="80"/>
              </w:rPr>
            </w:pPr>
            <w:r w:rsidRPr="00920380">
              <w:rPr>
                <w:b/>
                <w:color w:val="833C0B" w:themeColor="accent2" w:themeShade="80"/>
              </w:rPr>
              <w:t>Ef háð mati:</w:t>
            </w:r>
          </w:p>
          <w:p w:rsidR="00E86E64" w:rsidRPr="00920380" w:rsidRDefault="00E86E64" w:rsidP="00F31590">
            <w:r w:rsidRPr="00920380">
              <w:t xml:space="preserve">Í samræmi við 6. gr. laga nr. 106/2000 hefur </w:t>
            </w:r>
            <w:r w:rsidRPr="00920380">
              <w:rPr>
                <w:highlight w:val="lightGray"/>
              </w:rPr>
              <w:t>sveitarfélagið X</w:t>
            </w:r>
            <w:r w:rsidRPr="00920380">
              <w:t xml:space="preserve"> farið yfir tilkynningu framkvæmdaraðila, </w:t>
            </w:r>
            <w:r w:rsidRPr="00920380">
              <w:rPr>
                <w:highlight w:val="lightGray"/>
              </w:rPr>
              <w:t>umsagnir og viðbrögð framkvæmdaraðila vegna þeirra (þegar það á við)</w:t>
            </w:r>
            <w:r w:rsidRPr="00920380">
              <w:t>. Niðurstaða</w:t>
            </w:r>
            <w:r>
              <w:t xml:space="preserve"> </w:t>
            </w:r>
            <w:r w:rsidRPr="00920380">
              <w:rPr>
                <w:highlight w:val="lightGray"/>
              </w:rPr>
              <w:t>sveitarfélagsins X</w:t>
            </w:r>
            <w:r w:rsidRPr="00920380">
              <w:t xml:space="preserve"> er að </w:t>
            </w:r>
            <w:r w:rsidRPr="00920380">
              <w:rPr>
                <w:highlight w:val="lightGray"/>
              </w:rPr>
              <w:t>heiti framkvæmdar</w:t>
            </w:r>
            <w:r w:rsidRPr="00920380">
              <w:t xml:space="preserve"> geti haft umtalsverð umhverfisáhrif, sbr.  viðmið í 2. viðauka laga nr. 106/2000. Því skal framkvæmdin háð mati á umhverfisáhrifum.</w:t>
            </w:r>
          </w:p>
          <w:p w:rsidR="00E86E64" w:rsidRPr="00920380" w:rsidRDefault="00E86E64" w:rsidP="00F31590"/>
          <w:p w:rsidR="00E86E64" w:rsidRPr="00920380" w:rsidRDefault="00E86E64" w:rsidP="00F31590">
            <w:pPr>
              <w:rPr>
                <w:b/>
                <w:color w:val="833C0B" w:themeColor="accent2" w:themeShade="80"/>
              </w:rPr>
            </w:pPr>
            <w:r w:rsidRPr="00920380">
              <w:rPr>
                <w:b/>
                <w:color w:val="833C0B" w:themeColor="accent2" w:themeShade="80"/>
              </w:rPr>
              <w:t xml:space="preserve">Í báðum tilvikum: </w:t>
            </w:r>
          </w:p>
          <w:p w:rsidR="00E86E64" w:rsidRPr="00920380" w:rsidRDefault="00E86E64" w:rsidP="00F31590">
            <w:r w:rsidRPr="00920380">
              <w:t xml:space="preserve">Samkvæmt 14. gr. laga nr. 106/2000 má kæra ákvörðunina til úrskurðarnefndar umhverfis- og auðlindamála. Kærufrestur er til </w:t>
            </w:r>
            <w:r w:rsidRPr="00920380">
              <w:rPr>
                <w:highlight w:val="lightGray"/>
              </w:rPr>
              <w:t>dags. X</w:t>
            </w:r>
          </w:p>
          <w:p w:rsidR="00E86E64" w:rsidRPr="00404B08" w:rsidRDefault="00E86E64" w:rsidP="00F31590"/>
        </w:tc>
      </w:tr>
    </w:tbl>
    <w:p w:rsidR="00E86E64" w:rsidRDefault="00E86E64" w:rsidP="00E86E64">
      <w:pPr>
        <w:jc w:val="left"/>
        <w:rPr>
          <w:b/>
          <w:sz w:val="28"/>
          <w:szCs w:val="28"/>
        </w:rPr>
      </w:pPr>
    </w:p>
    <w:p w:rsidR="00081617" w:rsidRDefault="00081617"/>
    <w:sectPr w:rsidR="00081617" w:rsidSect="00332A94">
      <w:footerReference w:type="default" r:id="rId6"/>
      <w:headerReference w:type="first" r:id="rId7"/>
      <w:footerReference w:type="first" r:id="rId8"/>
      <w:pgSz w:w="11907" w:h="16839" w:code="9"/>
      <w:pgMar w:top="1440" w:right="1440" w:bottom="1440" w:left="1710" w:header="426" w:footer="64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7EDA">
      <w:pPr>
        <w:spacing w:after="0" w:line="240" w:lineRule="auto"/>
      </w:pPr>
      <w:r>
        <w:separator/>
      </w:r>
    </w:p>
  </w:endnote>
  <w:endnote w:type="continuationSeparator" w:id="0">
    <w:p w:rsidR="00000000" w:rsidRDefault="00C0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6F" w:rsidRPr="00427397" w:rsidRDefault="00E86E64" w:rsidP="00F10F2A">
    <w:pPr>
      <w:pStyle w:val="Footer"/>
      <w:tabs>
        <w:tab w:val="clear" w:pos="4320"/>
        <w:tab w:val="clear" w:pos="8640"/>
        <w:tab w:val="left" w:pos="513"/>
      </w:tabs>
      <w:rPr>
        <w:rFonts w:ascii="Calibri" w:hAnsi="Calibri"/>
        <w:sz w:val="16"/>
        <w:szCs w:val="16"/>
      </w:rPr>
    </w:pPr>
    <w:r w:rsidRPr="00427397">
      <w:rPr>
        <w:rFonts w:ascii="Calibri" w:hAnsi="Calibri" w:cs="ArialMT"/>
        <w:sz w:val="16"/>
        <w:szCs w:val="16"/>
        <w:lang w:val="en-US"/>
      </w:rPr>
      <w:t>Skipulags</w:t>
    </w:r>
    <w:r>
      <w:rPr>
        <w:rFonts w:ascii="Calibri" w:hAnsi="Calibri" w:cs="ArialMT"/>
        <w:sz w:val="16"/>
        <w:szCs w:val="16"/>
        <w:lang w:val="en-US"/>
      </w:rPr>
      <w:t xml:space="preserve">stofnun, </w:t>
    </w:r>
    <w:proofErr w:type="spellStart"/>
    <w:r>
      <w:rPr>
        <w:rFonts w:ascii="Calibri" w:hAnsi="Calibri" w:cs="ArialMT"/>
        <w:sz w:val="16"/>
        <w:szCs w:val="16"/>
        <w:lang w:val="en-US"/>
      </w:rPr>
      <w:t>júní</w:t>
    </w:r>
    <w:proofErr w:type="spellEnd"/>
    <w:r w:rsidRPr="00427397">
      <w:rPr>
        <w:rFonts w:ascii="Calibri" w:hAnsi="Calibri" w:cs="ArialMT"/>
        <w:sz w:val="16"/>
        <w:szCs w:val="16"/>
        <w:lang w:val="en-US"/>
      </w:rPr>
      <w:t xml:space="preserve"> 201</w:t>
    </w:r>
    <w:r>
      <w:rPr>
        <w:rFonts w:ascii="Calibri" w:hAnsi="Calibri" w:cs="ArialMT"/>
        <w:sz w:val="16"/>
        <w:szCs w:val="16"/>
        <w:lang w:val="en-US"/>
      </w:rPr>
      <w:t>5</w:t>
    </w:r>
    <w:r w:rsidRPr="00427397">
      <w:rPr>
        <w:rFonts w:ascii="Calibri" w:hAnsi="Calibri" w:cs="ArialMT"/>
        <w:sz w:val="16"/>
        <w:szCs w:val="16"/>
        <w:lang w:val="en-US"/>
      </w:rPr>
      <w:t xml:space="preserve">  </w:t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  <w:t xml:space="preserve">  </w:t>
    </w:r>
    <w:r w:rsidRPr="009A25D1">
      <w:rPr>
        <w:rStyle w:val="PageNumber"/>
        <w:b/>
        <w:color w:val="5B9BD5" w:themeColor="accent1"/>
        <w:sz w:val="16"/>
        <w:szCs w:val="16"/>
      </w:rPr>
      <w:fldChar w:fldCharType="begin"/>
    </w:r>
    <w:r w:rsidRPr="009A25D1">
      <w:rPr>
        <w:rStyle w:val="PageNumber"/>
        <w:b/>
        <w:color w:val="5B9BD5" w:themeColor="accent1"/>
        <w:sz w:val="16"/>
        <w:szCs w:val="16"/>
      </w:rPr>
      <w:instrText xml:space="preserve"> PAGE </w:instrText>
    </w:r>
    <w:r w:rsidRPr="009A25D1">
      <w:rPr>
        <w:rStyle w:val="PageNumber"/>
        <w:b/>
        <w:color w:val="5B9BD5" w:themeColor="accent1"/>
        <w:sz w:val="16"/>
        <w:szCs w:val="16"/>
      </w:rPr>
      <w:fldChar w:fldCharType="separate"/>
    </w:r>
    <w:r>
      <w:rPr>
        <w:rStyle w:val="PageNumber"/>
        <w:b/>
        <w:noProof/>
        <w:color w:val="5B9BD5" w:themeColor="accent1"/>
        <w:sz w:val="16"/>
        <w:szCs w:val="16"/>
      </w:rPr>
      <w:t>9</w:t>
    </w:r>
    <w:r w:rsidRPr="009A25D1">
      <w:rPr>
        <w:rStyle w:val="PageNumber"/>
        <w:b/>
        <w:color w:val="5B9BD5" w:themeColor="accen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6F" w:rsidRPr="004C5E61" w:rsidRDefault="00E86E64" w:rsidP="004C5E61">
    <w:pPr>
      <w:pStyle w:val="Footer"/>
      <w:tabs>
        <w:tab w:val="clear" w:pos="4320"/>
        <w:tab w:val="clear" w:pos="8640"/>
        <w:tab w:val="left" w:pos="513"/>
      </w:tabs>
      <w:rPr>
        <w:rFonts w:ascii="Calibri" w:hAnsi="Calibri"/>
        <w:sz w:val="16"/>
        <w:szCs w:val="16"/>
      </w:rPr>
    </w:pPr>
    <w:r w:rsidRPr="00427397">
      <w:rPr>
        <w:rFonts w:ascii="Calibri" w:hAnsi="Calibri" w:cs="ArialMT"/>
        <w:sz w:val="16"/>
        <w:szCs w:val="16"/>
        <w:lang w:val="en-US"/>
      </w:rPr>
      <w:t>Skipulags</w:t>
    </w:r>
    <w:r>
      <w:rPr>
        <w:rFonts w:ascii="Calibri" w:hAnsi="Calibri" w:cs="ArialMT"/>
        <w:sz w:val="16"/>
        <w:szCs w:val="16"/>
        <w:lang w:val="en-US"/>
      </w:rPr>
      <w:t xml:space="preserve">stofnun, </w:t>
    </w:r>
    <w:proofErr w:type="spellStart"/>
    <w:r>
      <w:rPr>
        <w:rFonts w:ascii="Calibri" w:hAnsi="Calibri" w:cs="ArialMT"/>
        <w:sz w:val="16"/>
        <w:szCs w:val="16"/>
        <w:lang w:val="en-US"/>
      </w:rPr>
      <w:t>júní</w:t>
    </w:r>
    <w:proofErr w:type="spellEnd"/>
    <w:r w:rsidRPr="00427397">
      <w:rPr>
        <w:rFonts w:ascii="Calibri" w:hAnsi="Calibri" w:cs="ArialMT"/>
        <w:sz w:val="16"/>
        <w:szCs w:val="16"/>
        <w:lang w:val="en-US"/>
      </w:rPr>
      <w:t xml:space="preserve"> 201</w:t>
    </w:r>
    <w:r>
      <w:rPr>
        <w:rFonts w:ascii="Calibri" w:hAnsi="Calibri" w:cs="ArialMT"/>
        <w:sz w:val="16"/>
        <w:szCs w:val="16"/>
        <w:lang w:val="en-US"/>
      </w:rPr>
      <w:t>5</w:t>
    </w:r>
    <w:r w:rsidRPr="00427397">
      <w:rPr>
        <w:rFonts w:ascii="Calibri" w:hAnsi="Calibri" w:cs="ArialMT"/>
        <w:sz w:val="16"/>
        <w:szCs w:val="16"/>
        <w:lang w:val="en-US"/>
      </w:rPr>
      <w:t xml:space="preserve">  </w:t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</w:r>
    <w:r>
      <w:rPr>
        <w:rFonts w:ascii="Calibri" w:hAnsi="Calibri" w:cs="ArialMT"/>
        <w:sz w:val="16"/>
        <w:szCs w:val="16"/>
        <w:lang w:val="en-US"/>
      </w:rPr>
      <w:tab/>
      <w:t xml:space="preserve">    </w:t>
    </w:r>
    <w:r w:rsidRPr="009A25D1">
      <w:rPr>
        <w:rStyle w:val="PageNumber"/>
        <w:b/>
        <w:color w:val="5B9BD5" w:themeColor="accent1"/>
        <w:sz w:val="16"/>
        <w:szCs w:val="16"/>
      </w:rPr>
      <w:fldChar w:fldCharType="begin"/>
    </w:r>
    <w:r w:rsidRPr="009A25D1">
      <w:rPr>
        <w:rStyle w:val="PageNumber"/>
        <w:b/>
        <w:color w:val="5B9BD5" w:themeColor="accent1"/>
        <w:sz w:val="16"/>
        <w:szCs w:val="16"/>
      </w:rPr>
      <w:instrText xml:space="preserve"> PAGE </w:instrText>
    </w:r>
    <w:r w:rsidRPr="009A25D1">
      <w:rPr>
        <w:rStyle w:val="PageNumber"/>
        <w:b/>
        <w:color w:val="5B9BD5" w:themeColor="accent1"/>
        <w:sz w:val="16"/>
        <w:szCs w:val="16"/>
      </w:rPr>
      <w:fldChar w:fldCharType="separate"/>
    </w:r>
    <w:r w:rsidR="00C07EDA">
      <w:rPr>
        <w:rStyle w:val="PageNumber"/>
        <w:b/>
        <w:noProof/>
        <w:color w:val="5B9BD5" w:themeColor="accent1"/>
        <w:sz w:val="16"/>
        <w:szCs w:val="16"/>
      </w:rPr>
      <w:t>1</w:t>
    </w:r>
    <w:r w:rsidRPr="009A25D1">
      <w:rPr>
        <w:rStyle w:val="PageNumber"/>
        <w:b/>
        <w:color w:val="5B9BD5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7EDA">
      <w:pPr>
        <w:spacing w:after="0" w:line="240" w:lineRule="auto"/>
      </w:pPr>
      <w:r>
        <w:separator/>
      </w:r>
    </w:p>
  </w:footnote>
  <w:footnote w:type="continuationSeparator" w:id="0">
    <w:p w:rsidR="00000000" w:rsidRDefault="00C0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6F" w:rsidRDefault="00C07EDA" w:rsidP="00332A94">
    <w:pPr>
      <w:pStyle w:val="Header"/>
      <w:jc w:val="right"/>
      <w:rPr>
        <w:noProof/>
        <w:lang w:eastAsia="is-IS"/>
      </w:rPr>
    </w:pPr>
  </w:p>
  <w:p w:rsidR="00CA406F" w:rsidRDefault="00E86E64" w:rsidP="00332A94">
    <w:pPr>
      <w:pStyle w:val="Header"/>
      <w:ind w:right="-882"/>
      <w:jc w:val="right"/>
    </w:pPr>
    <w:r>
      <w:rPr>
        <w:noProof/>
        <w:lang w:eastAsia="is-IS"/>
      </w:rPr>
      <w:drawing>
        <wp:inline distT="0" distB="0" distL="0" distR="0" wp14:anchorId="2F240368" wp14:editId="13A3686D">
          <wp:extent cx="1589405" cy="511739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pulagsstofn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722" cy="515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4"/>
    <w:rsid w:val="00081617"/>
    <w:rsid w:val="00C07EDA"/>
    <w:rsid w:val="00E86E64"/>
    <w:rsid w:val="00E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227F-B350-4DC0-8420-4246B534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64"/>
    <w:pPr>
      <w:spacing w:after="200" w:line="276" w:lineRule="auto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E6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86E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64"/>
  </w:style>
  <w:style w:type="paragraph" w:styleId="Footer">
    <w:name w:val="footer"/>
    <w:basedOn w:val="Normal"/>
    <w:link w:val="FooterChar"/>
    <w:uiPriority w:val="99"/>
    <w:unhideWhenUsed/>
    <w:rsid w:val="00E86E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64"/>
  </w:style>
  <w:style w:type="character" w:styleId="PageNumber">
    <w:name w:val="page number"/>
    <w:basedOn w:val="DefaultParagraphFont"/>
    <w:uiPriority w:val="99"/>
    <w:semiHidden/>
    <w:unhideWhenUsed/>
    <w:rsid w:val="00E86E64"/>
  </w:style>
  <w:style w:type="table" w:styleId="TableGrid">
    <w:name w:val="Table Grid"/>
    <w:basedOn w:val="TableNormal"/>
    <w:uiPriority w:val="39"/>
    <w:rsid w:val="00E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Skipulagsstofnun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Kristinsdóttir</dc:creator>
  <cp:keywords/>
  <dc:description/>
  <cp:lastModifiedBy>Einar Jónsson</cp:lastModifiedBy>
  <cp:revision>2</cp:revision>
  <dcterms:created xsi:type="dcterms:W3CDTF">2015-07-20T13:56:00Z</dcterms:created>
  <dcterms:modified xsi:type="dcterms:W3CDTF">2015-07-20T13:56:00Z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Sniðmát fyrir afgreiðslu sveitarfélags.docx</vt:lpwstr>
  </property>
  <property fmtid="{D5CDD505-2E9C-101B-9397-08002B2CF9AE}" pid="3" name="One_Number">
    <vt:lpwstr>201502035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Rut Kristinsdóttir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</Properties>
</file>